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125D">
      <w:pPr>
        <w:pageBreakBefore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b w:val="0"/>
          <w:bCs w:val="0"/>
          <w:kern w:val="0"/>
          <w:sz w:val="44"/>
          <w:szCs w:val="44"/>
          <w:lang w:val="zh-CN"/>
        </w:rPr>
      </w:pPr>
      <w:r>
        <w:rPr>
          <w:rFonts w:hint="eastAsia" w:ascii="方正小标宋简体" w:hAnsi="方正小标宋简体" w:eastAsia="方正小标宋简体" w:cs="方正小标宋简体"/>
          <w:b w:val="0"/>
          <w:bCs w:val="0"/>
          <w:sz w:val="44"/>
          <w:szCs w:val="44"/>
          <w:lang w:val="zh-CN"/>
        </w:rPr>
        <w:t>六盘水市保险行业协会财务管理规定</w:t>
      </w:r>
    </w:p>
    <w:p w14:paraId="28834D54">
      <w:pPr>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（本规定于</w:t>
      </w:r>
      <w:bookmarkStart w:id="0" w:name="_GoBack"/>
      <w:bookmarkEnd w:id="0"/>
      <w:r>
        <w:rPr>
          <w:rFonts w:hint="eastAsia" w:ascii="仿宋_GB2312" w:hAnsi="仿宋_GB2312" w:eastAsia="仿宋_GB2312" w:cs="仿宋_GB2312"/>
          <w:kern w:val="0"/>
          <w:sz w:val="28"/>
          <w:szCs w:val="28"/>
          <w:lang w:val="en-US" w:eastAsia="zh-CN"/>
        </w:rPr>
        <w:t>2025年5月21日，经六盘水市保险行业协会第五届理事会</w:t>
      </w:r>
    </w:p>
    <w:p w14:paraId="6D50F1BC">
      <w:pPr>
        <w:pageBreakBefore w:val="0"/>
        <w:kinsoku/>
        <w:wordWrap/>
        <w:overflowPunct/>
        <w:topLinePunct w:val="0"/>
        <w:autoSpaceDE w:val="0"/>
        <w:autoSpaceDN w:val="0"/>
        <w:bidi w:val="0"/>
        <w:adjustRightInd w:val="0"/>
        <w:snapToGrid/>
        <w:spacing w:line="240" w:lineRule="auto"/>
        <w:jc w:val="center"/>
        <w:textAlignment w:val="auto"/>
        <w:rPr>
          <w:rFonts w:hint="default" w:ascii="楷体_GB2312" w:hAnsi="楷体_GB2312" w:eastAsia="楷体_GB2312" w:cs="楷体_GB2312"/>
          <w:b/>
          <w:bCs w:val="0"/>
          <w:color w:val="auto"/>
          <w:kern w:val="0"/>
          <w:sz w:val="28"/>
          <w:szCs w:val="28"/>
          <w:lang w:val="en-US" w:eastAsia="zh-CN"/>
        </w:rPr>
      </w:pPr>
      <w:r>
        <w:rPr>
          <w:rFonts w:hint="eastAsia" w:ascii="仿宋_GB2312" w:hAnsi="仿宋_GB2312" w:eastAsia="仿宋_GB2312" w:cs="仿宋_GB2312"/>
          <w:kern w:val="0"/>
          <w:sz w:val="28"/>
          <w:szCs w:val="28"/>
          <w:lang w:val="en-US" w:eastAsia="zh-CN"/>
        </w:rPr>
        <w:t>第1次会议审议通过）</w:t>
      </w:r>
    </w:p>
    <w:p w14:paraId="3242AE62">
      <w:pPr>
        <w:pageBreakBefore w:val="0"/>
        <w:kinsoku/>
        <w:wordWrap/>
        <w:overflowPunct/>
        <w:topLinePunct w:val="0"/>
        <w:autoSpaceDE w:val="0"/>
        <w:autoSpaceDN w:val="0"/>
        <w:bidi w:val="0"/>
        <w:adjustRightInd w:val="0"/>
        <w:snapToGrid/>
        <w:spacing w:line="240" w:lineRule="auto"/>
        <w:jc w:val="center"/>
        <w:textAlignment w:val="auto"/>
        <w:rPr>
          <w:rFonts w:hint="eastAsia" w:ascii="楷体_GB2312" w:hAnsi="楷体_GB2312" w:eastAsia="楷体_GB2312" w:cs="楷体_GB2312"/>
          <w:b/>
          <w:bCs w:val="0"/>
          <w:color w:val="auto"/>
          <w:kern w:val="0"/>
          <w:sz w:val="32"/>
          <w:szCs w:val="32"/>
        </w:rPr>
      </w:pPr>
      <w:r>
        <w:rPr>
          <w:rFonts w:hint="eastAsia" w:ascii="楷体_GB2312" w:hAnsi="楷体_GB2312" w:eastAsia="楷体_GB2312" w:cs="楷体_GB2312"/>
          <w:b/>
          <w:bCs w:val="0"/>
          <w:color w:val="auto"/>
          <w:kern w:val="0"/>
          <w:sz w:val="32"/>
          <w:szCs w:val="32"/>
          <w:lang w:val="zh-CN"/>
        </w:rPr>
        <w:t>第一章</w:t>
      </w:r>
      <w:r>
        <w:rPr>
          <w:rFonts w:hint="eastAsia" w:ascii="楷体_GB2312" w:hAnsi="楷体_GB2312" w:eastAsia="楷体_GB2312" w:cs="楷体_GB2312"/>
          <w:b/>
          <w:bCs w:val="0"/>
          <w:color w:val="auto"/>
          <w:kern w:val="0"/>
          <w:sz w:val="32"/>
          <w:szCs w:val="32"/>
        </w:rPr>
        <w:t xml:space="preserve"> </w:t>
      </w:r>
      <w:r>
        <w:rPr>
          <w:rFonts w:hint="eastAsia" w:ascii="楷体_GB2312" w:hAnsi="楷体_GB2312" w:eastAsia="楷体_GB2312" w:cs="楷体_GB2312"/>
          <w:b/>
          <w:bCs w:val="0"/>
          <w:color w:val="auto"/>
          <w:kern w:val="0"/>
          <w:sz w:val="32"/>
          <w:szCs w:val="32"/>
          <w:lang w:val="zh-CN"/>
        </w:rPr>
        <w:t>总则</w:t>
      </w:r>
    </w:p>
    <w:p w14:paraId="6BFB9BC4">
      <w:pPr>
        <w:pageBreakBefore w:val="0"/>
        <w:kinsoku/>
        <w:wordWrap/>
        <w:overflowPunct/>
        <w:topLinePunct w:val="0"/>
        <w:autoSpaceDE w:val="0"/>
        <w:autoSpaceDN w:val="0"/>
        <w:bidi w:val="0"/>
        <w:adjustRightInd w:val="0"/>
        <w:snapToGrid/>
        <w:spacing w:line="240" w:lineRule="auto"/>
        <w:textAlignment w:val="auto"/>
        <w:rPr>
          <w:rFonts w:hint="eastAsia" w:ascii="仿宋_GB2312" w:hAnsi="仿宋_GB2312" w:eastAsia="仿宋_GB2312"/>
          <w:kern w:val="0"/>
          <w:sz w:val="32"/>
          <w:szCs w:val="32"/>
        </w:rPr>
      </w:pPr>
      <w:r>
        <w:rPr>
          <w:rFonts w:hint="eastAsia" w:ascii="仿宋_GB2312" w:eastAsia="仿宋_GB2312"/>
          <w:kern w:val="0"/>
          <w:sz w:val="28"/>
          <w:szCs w:val="28"/>
        </w:rPr>
        <w:t xml:space="preserve">   </w:t>
      </w:r>
      <w:r>
        <w:rPr>
          <w:rFonts w:hint="eastAsia" w:ascii="仿宋_GB2312" w:hAnsi="仿宋_GB2312" w:eastAsia="仿宋_GB2312"/>
          <w:b/>
          <w:bCs/>
          <w:kern w:val="0"/>
          <w:sz w:val="28"/>
          <w:szCs w:val="28"/>
        </w:rPr>
        <w:t xml:space="preserve"> </w:t>
      </w:r>
      <w:r>
        <w:rPr>
          <w:rFonts w:hint="eastAsia" w:ascii="仿宋_GB2312" w:hAnsi="仿宋_GB2312" w:eastAsia="仿宋_GB2312" w:cs="仿宋_GB2312"/>
          <w:b/>
          <w:bCs/>
          <w:kern w:val="0"/>
          <w:sz w:val="32"/>
          <w:szCs w:val="32"/>
          <w:lang w:val="zh-CN"/>
        </w:rPr>
        <w:t>第一条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为加强六盘水市保险行业协会秘书处（以下简称“协会秘书处”）财务管理，保障协会秘书处工作顺利进行，根据《民间非营利组织会计制度》和《中华人民共和国会计法》的规定，参照国家有关财经法规及财会制度，结合协会工作实际，制定本规定。</w:t>
      </w:r>
    </w:p>
    <w:p w14:paraId="74D295FA">
      <w:pPr>
        <w:pageBreakBefore w:val="0"/>
        <w:kinsoku/>
        <w:wordWrap/>
        <w:overflowPunct/>
        <w:topLinePunct w:val="0"/>
        <w:autoSpaceDE w:val="0"/>
        <w:autoSpaceDN w:val="0"/>
        <w:bidi w:val="0"/>
        <w:adjustRightInd w:val="0"/>
        <w:snapToGrid/>
        <w:spacing w:line="240" w:lineRule="auto"/>
        <w:ind w:firstLine="643"/>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第二条</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kern w:val="0"/>
          <w:sz w:val="32"/>
          <w:szCs w:val="32"/>
        </w:rPr>
        <w:t>协</w:t>
      </w:r>
      <w:r>
        <w:rPr>
          <w:rFonts w:hint="eastAsia" w:ascii="仿宋_GB2312" w:hAnsi="仿宋_GB2312" w:eastAsia="仿宋_GB2312" w:cs="仿宋_GB2312"/>
          <w:kern w:val="0"/>
          <w:sz w:val="32"/>
          <w:szCs w:val="32"/>
          <w:lang w:val="zh-CN"/>
        </w:rPr>
        <w:t>会财务管理应贯彻国家的方针政策和财政、金融法规，遵守财经纪律，接受业务主管部门、审计部门的业务指导和监督检查。</w:t>
      </w:r>
    </w:p>
    <w:p w14:paraId="354CA3F5">
      <w:pPr>
        <w:pageBreakBefore w:val="0"/>
        <w:kinsoku/>
        <w:wordWrap/>
        <w:overflowPunct/>
        <w:topLinePunct w:val="0"/>
        <w:autoSpaceDE w:val="0"/>
        <w:autoSpaceDN w:val="0"/>
        <w:bidi w:val="0"/>
        <w:adjustRightInd w:val="0"/>
        <w:snapToGrid/>
        <w:spacing w:line="240" w:lineRule="auto"/>
        <w:ind w:firstLine="643"/>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第三条</w:t>
      </w:r>
      <w:r>
        <w:rPr>
          <w:rFonts w:hint="eastAsia" w:ascii="仿宋_GB2312" w:hAnsi="仿宋_GB2312" w:eastAsia="仿宋_GB2312"/>
          <w:kern w:val="0"/>
          <w:sz w:val="32"/>
          <w:szCs w:val="32"/>
        </w:rPr>
        <w:t xml:space="preserve"> 协</w:t>
      </w:r>
      <w:r>
        <w:rPr>
          <w:rFonts w:hint="eastAsia" w:ascii="仿宋_GB2312" w:hAnsi="仿宋_GB2312" w:eastAsia="仿宋_GB2312" w:cs="仿宋_GB2312"/>
          <w:kern w:val="0"/>
          <w:sz w:val="32"/>
          <w:szCs w:val="32"/>
          <w:lang w:val="zh-CN"/>
        </w:rPr>
        <w:t>会财务要建立严格的内部制约机制，健全内控制度，保证各项支出的合法合规，保障资金安全，提高预算资金的使用效率。</w:t>
      </w:r>
      <w:r>
        <w:rPr>
          <w:rFonts w:hint="eastAsia" w:ascii="仿宋_GB2312" w:hAnsi="仿宋_GB2312" w:eastAsia="仿宋_GB2312"/>
          <w:kern w:val="0"/>
          <w:sz w:val="32"/>
          <w:szCs w:val="32"/>
        </w:rPr>
        <w:t xml:space="preserve"> </w:t>
      </w:r>
    </w:p>
    <w:p w14:paraId="15A3247C">
      <w:pPr>
        <w:pageBreakBefore w:val="0"/>
        <w:kinsoku/>
        <w:wordWrap/>
        <w:overflowPunct/>
        <w:topLinePunct w:val="0"/>
        <w:autoSpaceDE w:val="0"/>
        <w:autoSpaceDN w:val="0"/>
        <w:bidi w:val="0"/>
        <w:adjustRightInd w:val="0"/>
        <w:snapToGrid/>
        <w:spacing w:line="240" w:lineRule="auto"/>
        <w:ind w:firstLine="643"/>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第四条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我会财务实行</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统一领导，归口管理</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的管理体制。在协会领导的领导下，全部财务活动由秘书处综合行政部统一核算和管理。</w:t>
      </w:r>
    </w:p>
    <w:p w14:paraId="79E524CE">
      <w:pPr>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bCs/>
          <w:kern w:val="0"/>
          <w:sz w:val="32"/>
          <w:szCs w:val="32"/>
        </w:rPr>
      </w:pPr>
      <w:r>
        <w:rPr>
          <w:rFonts w:hint="eastAsia" w:ascii="楷体_GB2312" w:hAnsi="楷体_GB2312" w:eastAsia="楷体_GB2312" w:cs="楷体_GB2312"/>
          <w:b/>
          <w:bCs w:val="0"/>
          <w:kern w:val="0"/>
          <w:sz w:val="32"/>
          <w:szCs w:val="32"/>
          <w:lang w:val="zh-CN"/>
        </w:rPr>
        <w:t>第二章</w:t>
      </w:r>
      <w:r>
        <w:rPr>
          <w:rFonts w:hint="eastAsia" w:ascii="楷体_GB2312" w:hAnsi="楷体_GB2312" w:eastAsia="楷体_GB2312" w:cs="楷体_GB2312"/>
          <w:b/>
          <w:bCs w:val="0"/>
          <w:kern w:val="0"/>
          <w:sz w:val="32"/>
          <w:szCs w:val="32"/>
          <w:lang w:val="en-US" w:eastAsia="zh-CN"/>
        </w:rPr>
        <w:t xml:space="preserve"> </w:t>
      </w:r>
      <w:r>
        <w:rPr>
          <w:rFonts w:hint="eastAsia" w:ascii="楷体_GB2312" w:hAnsi="楷体_GB2312" w:eastAsia="楷体_GB2312" w:cs="楷体_GB2312"/>
          <w:b/>
          <w:bCs w:val="0"/>
          <w:kern w:val="0"/>
          <w:sz w:val="32"/>
          <w:szCs w:val="32"/>
          <w:lang w:val="zh-CN"/>
        </w:rPr>
        <w:t>各项经费开支内容</w:t>
      </w:r>
    </w:p>
    <w:p w14:paraId="1C701EBB">
      <w:pPr>
        <w:pageBreakBefore w:val="0"/>
        <w:kinsoku/>
        <w:wordWrap/>
        <w:overflowPunct/>
        <w:topLinePunct w:val="0"/>
        <w:autoSpaceDE w:val="0"/>
        <w:autoSpaceDN w:val="0"/>
        <w:bidi w:val="0"/>
        <w:adjustRightInd w:val="0"/>
        <w:snapToGrid/>
        <w:spacing w:line="240" w:lineRule="auto"/>
        <w:ind w:firstLine="643"/>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第五条</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kern w:val="0"/>
          <w:sz w:val="32"/>
          <w:szCs w:val="32"/>
        </w:rPr>
        <w:t>协</w:t>
      </w:r>
      <w:r>
        <w:rPr>
          <w:rFonts w:hint="eastAsia" w:ascii="仿宋_GB2312" w:hAnsi="仿宋_GB2312" w:eastAsia="仿宋_GB2312" w:cs="仿宋_GB2312"/>
          <w:kern w:val="0"/>
          <w:sz w:val="32"/>
          <w:szCs w:val="32"/>
          <w:lang w:val="zh-CN"/>
        </w:rPr>
        <w:t>会经费开支包括基本支出和项目支出两部分。</w:t>
      </w:r>
    </w:p>
    <w:p w14:paraId="2112E452">
      <w:pPr>
        <w:pageBreakBefore w:val="0"/>
        <w:kinsoku/>
        <w:wordWrap/>
        <w:overflowPunct/>
        <w:topLinePunct w:val="0"/>
        <w:autoSpaceDE w:val="0"/>
        <w:autoSpaceDN w:val="0"/>
        <w:bidi w:val="0"/>
        <w:adjustRightInd w:val="0"/>
        <w:snapToGrid/>
        <w:spacing w:line="240" w:lineRule="auto"/>
        <w:ind w:firstLine="643"/>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第六条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基本支出指为保障协会秘书处正常运转、完成日常工作任务而发生的各项开支，包括人员经费和日常公用经费两部分。</w:t>
      </w:r>
    </w:p>
    <w:p w14:paraId="749FE85B">
      <w:pPr>
        <w:pageBreakBefore w:val="0"/>
        <w:kinsoku/>
        <w:wordWrap/>
        <w:overflowPunct/>
        <w:topLinePunct w:val="0"/>
        <w:autoSpaceDE w:val="0"/>
        <w:autoSpaceDN w:val="0"/>
        <w:bidi w:val="0"/>
        <w:adjustRightInd w:val="0"/>
        <w:snapToGrid/>
        <w:spacing w:line="240" w:lineRule="auto"/>
        <w:ind w:firstLine="643"/>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第七条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人员经费指专职人员、反聘人员、聘用人员的各类劳动报酬及为上述人员缴纳的各项社会保险费等。包括工资、社会保险缴费、住房补贴等。</w:t>
      </w:r>
      <w:r>
        <w:rPr>
          <w:rFonts w:hint="eastAsia" w:ascii="仿宋_GB2312" w:hAnsi="仿宋_GB2312" w:eastAsia="仿宋_GB2312"/>
          <w:kern w:val="0"/>
          <w:sz w:val="32"/>
          <w:szCs w:val="32"/>
        </w:rPr>
        <w:t xml:space="preserve">    </w:t>
      </w:r>
    </w:p>
    <w:p w14:paraId="2AFA19FA">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（一）工资指在职人员的基本工资、岗位工资、绩效工资；</w:t>
      </w:r>
    </w:p>
    <w:p w14:paraId="0FD0654E">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（二）社会保险缴费指按国家有关规定应缴纳的养老、医疗、失业、工伤等保险费；</w:t>
      </w:r>
    </w:p>
    <w:p w14:paraId="2430960C">
      <w:pPr>
        <w:pageBreakBefore w:val="0"/>
        <w:kinsoku/>
        <w:wordWrap/>
        <w:overflowPunct/>
        <w:topLinePunct w:val="0"/>
        <w:autoSpaceDE w:val="0"/>
        <w:autoSpaceDN w:val="0"/>
        <w:bidi w:val="0"/>
        <w:adjustRightInd w:val="0"/>
        <w:snapToGrid/>
        <w:spacing w:line="240" w:lineRule="auto"/>
        <w:ind w:firstLine="60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（三）住房补贴指按国家规定由单位开支的住房公积金和增量补贴；</w:t>
      </w:r>
    </w:p>
    <w:p w14:paraId="393DFA67">
      <w:pPr>
        <w:pageBreakBefore w:val="0"/>
        <w:kinsoku/>
        <w:wordWrap/>
        <w:overflowPunct/>
        <w:topLinePunct w:val="0"/>
        <w:autoSpaceDE w:val="0"/>
        <w:autoSpaceDN w:val="0"/>
        <w:bidi w:val="0"/>
        <w:adjustRightInd w:val="0"/>
        <w:snapToGrid/>
        <w:spacing w:line="240" w:lineRule="auto"/>
        <w:ind w:firstLine="60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人员经费的开支标准由综合行政部根据协会有关规定确定。</w:t>
      </w:r>
    </w:p>
    <w:p w14:paraId="424A4965">
      <w:pPr>
        <w:pageBreakBefore w:val="0"/>
        <w:kinsoku/>
        <w:wordWrap/>
        <w:overflowPunct/>
        <w:topLinePunct w:val="0"/>
        <w:autoSpaceDE w:val="0"/>
        <w:autoSpaceDN w:val="0"/>
        <w:bidi w:val="0"/>
        <w:adjustRightInd w:val="0"/>
        <w:snapToGrid/>
        <w:spacing w:line="240" w:lineRule="auto"/>
        <w:textAlignment w:val="auto"/>
        <w:rPr>
          <w:rFonts w:hint="eastAsia" w:ascii="仿宋_GB2312" w:hAnsi="仿宋_GB2312" w:eastAsia="仿宋_GB2312"/>
          <w:bCs/>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val="0"/>
          <w:kern w:val="0"/>
          <w:sz w:val="32"/>
          <w:szCs w:val="32"/>
          <w:lang w:val="zh-CN"/>
        </w:rPr>
        <w:t>第八条</w:t>
      </w:r>
      <w:r>
        <w:rPr>
          <w:rFonts w:hint="eastAsia" w:ascii="仿宋_GB2312" w:hAnsi="仿宋_GB2312" w:eastAsia="仿宋_GB2312" w:cs="仿宋_GB2312"/>
          <w:bCs/>
          <w:kern w:val="0"/>
          <w:sz w:val="32"/>
          <w:szCs w:val="32"/>
          <w:lang w:val="zh-CN"/>
        </w:rPr>
        <w:t xml:space="preserve"> </w:t>
      </w:r>
      <w:r>
        <w:rPr>
          <w:rFonts w:hint="eastAsia" w:ascii="仿宋_GB2312" w:hAnsi="仿宋_GB2312" w:eastAsia="仿宋_GB2312" w:cs="仿宋_GB2312"/>
          <w:kern w:val="0"/>
          <w:sz w:val="32"/>
          <w:szCs w:val="32"/>
          <w:lang w:val="zh-CN"/>
        </w:rPr>
        <w:t>日常公用经费指为保证协会秘书处正常运转和开展自律工作购买的商品和劳务支出。包括办公费、印刷费、水电费、邮电费、交通费、差旅费、会议费、培训费、招待费、物业管理费、维修费、固定资产购建、其他费用等。</w:t>
      </w:r>
    </w:p>
    <w:p w14:paraId="50AE9C9B">
      <w:pPr>
        <w:pageBreakBefore w:val="0"/>
        <w:kinsoku/>
        <w:wordWrap/>
        <w:overflowPunct/>
        <w:topLinePunct w:val="0"/>
        <w:autoSpaceDE w:val="0"/>
        <w:autoSpaceDN w:val="0"/>
        <w:bidi w:val="0"/>
        <w:adjustRightInd w:val="0"/>
        <w:snapToGrid/>
        <w:spacing w:line="240" w:lineRule="auto"/>
        <w:ind w:firstLine="60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（一）办公费指固定资产以外的办公用品、书报杂志、清洁卫生用品等的购置费等。</w:t>
      </w:r>
    </w:p>
    <w:p w14:paraId="53BCB52B">
      <w:pPr>
        <w:pageBreakBefore w:val="0"/>
        <w:kinsoku/>
        <w:wordWrap/>
        <w:overflowPunct/>
        <w:topLinePunct w:val="0"/>
        <w:autoSpaceDE w:val="0"/>
        <w:autoSpaceDN w:val="0"/>
        <w:bidi w:val="0"/>
        <w:adjustRightInd w:val="0"/>
        <w:snapToGrid/>
        <w:spacing w:line="240" w:lineRule="auto"/>
        <w:ind w:firstLine="60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办公用品的购置和书报杂志的订阅由综合行政部统一组织实施。</w:t>
      </w:r>
    </w:p>
    <w:p w14:paraId="29C5E12B">
      <w:pPr>
        <w:pageBreakBefore w:val="0"/>
        <w:kinsoku/>
        <w:wordWrap/>
        <w:overflowPunct/>
        <w:topLinePunct w:val="0"/>
        <w:autoSpaceDE w:val="0"/>
        <w:autoSpaceDN w:val="0"/>
        <w:bidi w:val="0"/>
        <w:adjustRightInd w:val="0"/>
        <w:snapToGrid/>
        <w:spacing w:line="240" w:lineRule="auto"/>
        <w:ind w:firstLine="60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（二）印刷费指文头、信纸、信封、账表、规章制度及业务资料等的印刷费用；</w:t>
      </w:r>
    </w:p>
    <w:p w14:paraId="4D1BD930">
      <w:pPr>
        <w:pageBreakBefore w:val="0"/>
        <w:kinsoku/>
        <w:wordWrap/>
        <w:overflowPunct/>
        <w:topLinePunct w:val="0"/>
        <w:autoSpaceDE w:val="0"/>
        <w:autoSpaceDN w:val="0"/>
        <w:bidi w:val="0"/>
        <w:adjustRightInd w:val="0"/>
        <w:snapToGrid/>
        <w:spacing w:line="240" w:lineRule="auto"/>
        <w:ind w:firstLine="60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（三）水电费指办公场所的水费、电费等；</w:t>
      </w:r>
    </w:p>
    <w:p w14:paraId="1FF54CC0">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（四）邮电费指信函、包裹、货物等物品的邮寄费、电话费、电报费、传真费、网络通讯费等。</w:t>
      </w:r>
    </w:p>
    <w:p w14:paraId="50A77783">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（五）交通费指单位各类交通工具的租用费、燃料费、维修费、过桥过路费、保险费、养路费、年检年审费。</w:t>
      </w:r>
    </w:p>
    <w:p w14:paraId="6F41A4E9">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（六）差旅费指工作人员因公国内外出差的交通费、住宿费、伙食补助费等。</w:t>
      </w:r>
    </w:p>
    <w:p w14:paraId="39B8F32B">
      <w:pPr>
        <w:pageBreakBefore w:val="0"/>
        <w:tabs>
          <w:tab w:val="left" w:pos="0"/>
        </w:tabs>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（七）会议费指会议住宿费、伙食费、租赁费、交通费、医药费、文件资料费等。</w:t>
      </w:r>
    </w:p>
    <w:p w14:paraId="7F34F206">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（八）培训费指国内业务培训发生的有关支出，包括培训学员的住宿费、伙食费、资料购置费、调研经费以及职工教育经费等。</w:t>
      </w:r>
    </w:p>
    <w:p w14:paraId="321337CD">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九）招待费指为工作需要所支付的用餐费、住宿费、交通费等接待费用。以协会秘书处或各部门名义进行的接待活动，承办部门应提前提出费用预算报综合行政部审核，并经协会领导签署意见后，由综合行政部组织实施。</w:t>
      </w:r>
    </w:p>
    <w:p w14:paraId="12E9BE47">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（十）物业管理费指办公场所的物业管理费支出。</w:t>
      </w:r>
    </w:p>
    <w:p w14:paraId="633280A7">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（十一）维修费指办公设备、其他设备和机具及办公用房的日常修理和维护费用。</w:t>
      </w:r>
    </w:p>
    <w:p w14:paraId="679BEFF1">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（十二）固定资产购建指办公设备、家具、交通运输工具、医疗设备、图书等的购置费用。</w:t>
      </w:r>
    </w:p>
    <w:p w14:paraId="0D492F10">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color w:val="0000FF"/>
          <w:kern w:val="0"/>
          <w:sz w:val="32"/>
          <w:szCs w:val="32"/>
        </w:rPr>
      </w:pPr>
      <w:r>
        <w:rPr>
          <w:rFonts w:hint="eastAsia" w:ascii="仿宋_GB2312" w:hAnsi="仿宋_GB2312" w:eastAsia="仿宋_GB2312" w:cs="仿宋_GB2312"/>
          <w:kern w:val="0"/>
          <w:sz w:val="32"/>
          <w:szCs w:val="32"/>
          <w:lang w:val="zh-CN"/>
        </w:rPr>
        <w:t>（十三）其他费用指财产保险费、劳动保护费、业务宣传费、电子设备运转费、工会经费、税费、诉讼费、及上述科目未反映的日常公用经费支出。其他费用的开支根据国家有关规定和协会秘书处工作的实际需要在预算内据实列支。</w:t>
      </w:r>
    </w:p>
    <w:p w14:paraId="3DA9000F">
      <w:pPr>
        <w:pageBreakBefore w:val="0"/>
        <w:kinsoku/>
        <w:wordWrap/>
        <w:overflowPunct/>
        <w:topLinePunct w:val="0"/>
        <w:autoSpaceDE w:val="0"/>
        <w:autoSpaceDN w:val="0"/>
        <w:bidi w:val="0"/>
        <w:adjustRightInd w:val="0"/>
        <w:snapToGrid/>
        <w:spacing w:line="240" w:lineRule="auto"/>
        <w:textAlignment w:val="auto"/>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val="0"/>
          <w:kern w:val="0"/>
          <w:sz w:val="32"/>
          <w:szCs w:val="32"/>
          <w:lang w:val="zh-CN"/>
        </w:rPr>
        <w:t>第九条</w:t>
      </w:r>
      <w:r>
        <w:rPr>
          <w:rFonts w:hint="eastAsia" w:ascii="仿宋_GB2312" w:hAnsi="仿宋_GB2312" w:eastAsia="仿宋_GB2312"/>
          <w:b/>
          <w:bCs w:val="0"/>
          <w:kern w:val="0"/>
          <w:sz w:val="32"/>
          <w:szCs w:val="32"/>
        </w:rPr>
        <w:t xml:space="preserve"> </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项目支出指在基本支出之外，为完成特定任务和事业发展目标而发生的各项开支。包括基本建设类项目支出、大型购建项目支出、大型修缮项目支出、自律检查项目支出、租赁费项目支出、考试费项目支出等。</w:t>
      </w:r>
    </w:p>
    <w:p w14:paraId="76B9D0B5">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（一）基本建设类项目指办公用房购建项目和其他基本建设项目。办公用房购建项目包括新建、购建、扩建、改建办公用房的项目；</w:t>
      </w:r>
    </w:p>
    <w:p w14:paraId="19858A26">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（二）大型购建项目指在基本支出之外大批量购置交通工具、电子设备、办公设备和网络建设等；</w:t>
      </w:r>
    </w:p>
    <w:p w14:paraId="2C064CB5">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（三）大型修缮项目指按规定并经有关部门鉴定需要进行大规模修缮或修理的房屋和专业设备等；</w:t>
      </w:r>
    </w:p>
    <w:p w14:paraId="44D7DB8B">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（四）租赁费项目指租赁办公用房、宿舍、专用通信网等。</w:t>
      </w:r>
    </w:p>
    <w:p w14:paraId="567139D0">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（五）自律检查项目指对被检查机构进行大型非经常性、专题性现场检查、调研等，包括伙食补助、住宿、城市间及市内交通费等。</w:t>
      </w:r>
    </w:p>
    <w:p w14:paraId="118311D4">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（六）考试费项目支出是指用于保险代理人、保险经纪人和保险公估人等三项资格考试发生的各种与考试直接相关的费用。考试费的各项支出控制在收费标准以内列支。</w:t>
      </w:r>
    </w:p>
    <w:p w14:paraId="0A7AA875">
      <w:pPr>
        <w:pageBreakBefore w:val="0"/>
        <w:kinsoku/>
        <w:wordWrap/>
        <w:overflowPunct/>
        <w:topLinePunct w:val="0"/>
        <w:autoSpaceDE w:val="0"/>
        <w:autoSpaceDN w:val="0"/>
        <w:bidi w:val="0"/>
        <w:adjustRightInd w:val="0"/>
        <w:snapToGrid/>
        <w:spacing w:line="240" w:lineRule="auto"/>
        <w:ind w:firstLine="640"/>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bCs w:val="0"/>
          <w:kern w:val="0"/>
          <w:sz w:val="32"/>
          <w:szCs w:val="32"/>
          <w:lang w:val="zh-CN"/>
        </w:rPr>
        <w:t>第十条</w:t>
      </w:r>
      <w:r>
        <w:rPr>
          <w:rFonts w:hint="eastAsia" w:ascii="仿宋_GB2312" w:hAnsi="仿宋_GB2312" w:eastAsia="仿宋_GB2312" w:cs="仿宋_GB2312"/>
          <w:b/>
          <w:bCs w:val="0"/>
          <w:kern w:val="0"/>
          <w:sz w:val="32"/>
          <w:szCs w:val="32"/>
          <w:lang w:val="en-US" w:eastAsia="zh-CN"/>
        </w:rPr>
        <w:t xml:space="preserve"> </w:t>
      </w:r>
      <w:r>
        <w:rPr>
          <w:rFonts w:hint="eastAsia" w:ascii="仿宋_GB2312" w:hAnsi="仿宋_GB2312" w:eastAsia="仿宋_GB2312" w:cs="仿宋_GB2312"/>
          <w:b w:val="0"/>
          <w:bCs/>
          <w:kern w:val="0"/>
          <w:sz w:val="32"/>
          <w:szCs w:val="32"/>
          <w:lang w:val="en-US" w:eastAsia="zh-CN"/>
        </w:rPr>
        <w:t>大额经费支出标准。日常公用经费、项目支出金额每次超过5万元的，应经理事会同意后方可支付。</w:t>
      </w:r>
    </w:p>
    <w:p w14:paraId="2691A6E6">
      <w:pPr>
        <w:pageBreakBefore w:val="0"/>
        <w:kinsoku/>
        <w:wordWrap/>
        <w:overflowPunct/>
        <w:topLinePunct w:val="0"/>
        <w:autoSpaceDE w:val="0"/>
        <w:autoSpaceDN w:val="0"/>
        <w:bidi w:val="0"/>
        <w:adjustRightInd w:val="0"/>
        <w:snapToGrid/>
        <w:spacing w:line="240" w:lineRule="auto"/>
        <w:jc w:val="center"/>
        <w:textAlignment w:val="auto"/>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lang w:val="zh-CN"/>
        </w:rPr>
        <w:t>第三章</w:t>
      </w:r>
      <w:r>
        <w:rPr>
          <w:rFonts w:hint="eastAsia" w:ascii="楷体_GB2312" w:hAnsi="楷体_GB2312" w:eastAsia="楷体_GB2312" w:cs="楷体_GB2312"/>
          <w:b/>
          <w:bCs w:val="0"/>
          <w:kern w:val="0"/>
          <w:sz w:val="32"/>
          <w:szCs w:val="32"/>
        </w:rPr>
        <w:t xml:space="preserve"> </w:t>
      </w:r>
      <w:r>
        <w:rPr>
          <w:rFonts w:hint="eastAsia" w:ascii="楷体_GB2312" w:hAnsi="楷体_GB2312" w:eastAsia="楷体_GB2312" w:cs="楷体_GB2312"/>
          <w:b/>
          <w:bCs w:val="0"/>
          <w:kern w:val="0"/>
          <w:sz w:val="32"/>
          <w:szCs w:val="32"/>
          <w:lang w:val="zh-CN"/>
        </w:rPr>
        <w:t>审批程序和权限</w:t>
      </w:r>
    </w:p>
    <w:p w14:paraId="45963760">
      <w:pPr>
        <w:pageBreakBefore w:val="0"/>
        <w:kinsoku/>
        <w:wordWrap/>
        <w:overflowPunct/>
        <w:topLinePunct w:val="0"/>
        <w:autoSpaceDE w:val="0"/>
        <w:autoSpaceDN w:val="0"/>
        <w:bidi w:val="0"/>
        <w:adjustRightInd w:val="0"/>
        <w:snapToGrid/>
        <w:spacing w:line="240" w:lineRule="auto"/>
        <w:ind w:left="0" w:leftChars="0" w:firstLine="643" w:firstLineChars="200"/>
        <w:textAlignment w:val="auto"/>
        <w:rPr>
          <w:rFonts w:hint="eastAsia" w:ascii="仿宋_GB2312" w:hAnsi="仿宋_GB2312" w:eastAsia="仿宋_GB2312"/>
          <w:bCs/>
          <w:kern w:val="0"/>
          <w:sz w:val="32"/>
          <w:szCs w:val="32"/>
        </w:rPr>
      </w:pPr>
      <w:r>
        <w:rPr>
          <w:rFonts w:hint="eastAsia" w:ascii="仿宋_GB2312" w:hAnsi="仿宋_GB2312" w:eastAsia="仿宋_GB2312" w:cs="仿宋_GB2312"/>
          <w:b/>
          <w:bCs w:val="0"/>
          <w:kern w:val="0"/>
          <w:sz w:val="32"/>
          <w:szCs w:val="32"/>
          <w:lang w:val="zh-CN"/>
        </w:rPr>
        <w:t>第十一条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人员经费的审批</w:t>
      </w:r>
    </w:p>
    <w:p w14:paraId="4BAC489D">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（一）职工的工资支出，由综合行政部根据协会核定的年度人员工资预算审核，送协会秘书处领导审批；</w:t>
      </w:r>
    </w:p>
    <w:p w14:paraId="7A425235">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（二）其他各种补贴性支出，由综合行政部提出书面报告，送协会领导审批</w:t>
      </w:r>
      <w:r>
        <w:rPr>
          <w:rFonts w:hint="eastAsia" w:ascii="仿宋_GB2312" w:hAnsi="仿宋_GB2312" w:eastAsia="仿宋_GB2312" w:cs="仿宋_GB2312"/>
          <w:kern w:val="0"/>
          <w:sz w:val="32"/>
          <w:szCs w:val="32"/>
          <w:lang w:val="zh-CN" w:eastAsia="zh-CN"/>
        </w:rPr>
        <w:t>。</w:t>
      </w:r>
    </w:p>
    <w:p w14:paraId="6E838937">
      <w:pPr>
        <w:pageBreakBefore w:val="0"/>
        <w:kinsoku/>
        <w:wordWrap/>
        <w:overflowPunct/>
        <w:topLinePunct w:val="0"/>
        <w:autoSpaceDE w:val="0"/>
        <w:autoSpaceDN w:val="0"/>
        <w:bidi w:val="0"/>
        <w:adjustRightInd w:val="0"/>
        <w:snapToGrid/>
        <w:spacing w:line="240" w:lineRule="auto"/>
        <w:ind w:firstLine="643"/>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第十二条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日常公用经费的审批</w:t>
      </w:r>
    </w:p>
    <w:p w14:paraId="22FD4B8F">
      <w:pPr>
        <w:pageBreakBefore w:val="0"/>
        <w:tabs>
          <w:tab w:val="left" w:pos="720"/>
        </w:tabs>
        <w:kinsoku/>
        <w:wordWrap/>
        <w:overflowPunct/>
        <w:topLinePunct w:val="0"/>
        <w:autoSpaceDE w:val="0"/>
        <w:autoSpaceDN w:val="0"/>
        <w:bidi w:val="0"/>
        <w:adjustRightInd w:val="0"/>
        <w:snapToGrid/>
        <w:spacing w:line="240" w:lineRule="auto"/>
        <w:ind w:firstLine="72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日常公用经费开支应坚持预算管理、节约经费、提高效益、控制开支的原则。</w:t>
      </w:r>
    </w:p>
    <w:p w14:paraId="0CC5989B">
      <w:pPr>
        <w:pageBreakBefore w:val="0"/>
        <w:tabs>
          <w:tab w:val="left" w:pos="720"/>
        </w:tabs>
        <w:kinsoku/>
        <w:wordWrap/>
        <w:overflowPunct/>
        <w:topLinePunct w:val="0"/>
        <w:autoSpaceDE w:val="0"/>
        <w:autoSpaceDN w:val="0"/>
        <w:bidi w:val="0"/>
        <w:adjustRightInd w:val="0"/>
        <w:snapToGrid/>
        <w:spacing w:line="240" w:lineRule="auto"/>
        <w:ind w:firstLine="72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严格费用报销审批制度。一切费用报销必须有完整合规的原始凭证，并实行一支笔签字报销。即协会秘书处内一切开支由协会秘书处领导审核签字，会计人员复核。</w:t>
      </w:r>
    </w:p>
    <w:p w14:paraId="38BCF00A">
      <w:pPr>
        <w:pageBreakBefore w:val="0"/>
        <w:tabs>
          <w:tab w:val="left" w:pos="720"/>
        </w:tabs>
        <w:kinsoku/>
        <w:wordWrap/>
        <w:overflowPunct/>
        <w:topLinePunct w:val="0"/>
        <w:autoSpaceDE w:val="0"/>
        <w:autoSpaceDN w:val="0"/>
        <w:bidi w:val="0"/>
        <w:adjustRightInd w:val="0"/>
        <w:snapToGrid/>
        <w:spacing w:line="240" w:lineRule="auto"/>
        <w:ind w:firstLine="720"/>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第十三条</w:t>
      </w:r>
      <w:r>
        <w:rPr>
          <w:rFonts w:hint="eastAsia" w:ascii="仿宋_GB2312" w:hAnsi="仿宋_GB2312" w:eastAsia="仿宋_GB2312" w:cs="仿宋_GB2312"/>
          <w:b/>
          <w:bCs w:val="0"/>
          <w:kern w:val="0"/>
          <w:sz w:val="32"/>
          <w:szCs w:val="32"/>
          <w:lang w:val="en-US" w:eastAsia="zh-CN"/>
        </w:rPr>
        <w:t xml:space="preserve"> </w:t>
      </w:r>
      <w:r>
        <w:rPr>
          <w:rFonts w:hint="eastAsia" w:ascii="仿宋_GB2312" w:hAnsi="仿宋_GB2312" w:eastAsia="仿宋_GB2312" w:cs="仿宋_GB2312"/>
          <w:kern w:val="0"/>
          <w:sz w:val="32"/>
          <w:szCs w:val="32"/>
          <w:lang w:val="zh-CN"/>
        </w:rPr>
        <w:t>借款的审批</w:t>
      </w:r>
    </w:p>
    <w:p w14:paraId="52FCB1CB">
      <w:pPr>
        <w:pageBreakBefore w:val="0"/>
        <w:kinsoku/>
        <w:wordWrap/>
        <w:overflowPunct/>
        <w:topLinePunct w:val="0"/>
        <w:autoSpaceDE w:val="0"/>
        <w:autoSpaceDN w:val="0"/>
        <w:bidi w:val="0"/>
        <w:adjustRightInd w:val="0"/>
        <w:snapToGrid/>
        <w:spacing w:line="240" w:lineRule="auto"/>
        <w:ind w:firstLine="72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kern w:val="0"/>
          <w:sz w:val="32"/>
          <w:szCs w:val="32"/>
        </w:rPr>
        <w:t>3000</w:t>
      </w:r>
      <w:r>
        <w:rPr>
          <w:rFonts w:hint="eastAsia" w:ascii="仿宋_GB2312" w:hAnsi="仿宋_GB2312" w:eastAsia="仿宋_GB2312" w:cs="仿宋_GB2312"/>
          <w:kern w:val="0"/>
          <w:sz w:val="32"/>
          <w:szCs w:val="32"/>
          <w:lang w:val="zh-CN"/>
        </w:rPr>
        <w:t>元以下（含3000元）：经各部门负责人签字，再报综合行政部负责人审批；</w:t>
      </w:r>
    </w:p>
    <w:p w14:paraId="7376E31D">
      <w:pPr>
        <w:pageBreakBefore w:val="0"/>
        <w:kinsoku/>
        <w:wordWrap/>
        <w:overflowPunct/>
        <w:topLinePunct w:val="0"/>
        <w:autoSpaceDE w:val="0"/>
        <w:autoSpaceDN w:val="0"/>
        <w:bidi w:val="0"/>
        <w:adjustRightInd w:val="0"/>
        <w:snapToGrid/>
        <w:spacing w:line="240" w:lineRule="auto"/>
        <w:ind w:firstLine="720"/>
        <w:textAlignment w:val="auto"/>
        <w:rPr>
          <w:rFonts w:hint="eastAsia" w:ascii="仿宋_GB2312" w:hAnsi="仿宋_GB2312" w:eastAsia="仿宋_GB2312" w:cs="仿宋_GB2312"/>
          <w:bCs/>
          <w:kern w:val="0"/>
          <w:sz w:val="32"/>
          <w:szCs w:val="32"/>
          <w:lang w:val="zh-CN"/>
        </w:rPr>
      </w:pPr>
      <w:r>
        <w:rPr>
          <w:rFonts w:hint="eastAsia" w:ascii="仿宋_GB2312" w:hAnsi="仿宋_GB2312" w:eastAsia="仿宋_GB2312" w:cs="仿宋_GB2312"/>
          <w:kern w:val="0"/>
          <w:sz w:val="32"/>
          <w:szCs w:val="32"/>
          <w:lang w:val="zh-CN"/>
        </w:rPr>
        <w:t>3000元以上：经各部门负责人签字，再报协会秘书处领导审批。</w:t>
      </w:r>
    </w:p>
    <w:p w14:paraId="3F9C2C10">
      <w:pPr>
        <w:pageBreakBefore w:val="0"/>
        <w:kinsoku/>
        <w:wordWrap/>
        <w:overflowPunct/>
        <w:topLinePunct w:val="0"/>
        <w:autoSpaceDE w:val="0"/>
        <w:autoSpaceDN w:val="0"/>
        <w:bidi w:val="0"/>
        <w:adjustRightInd w:val="0"/>
        <w:snapToGrid/>
        <w:spacing w:line="240" w:lineRule="auto"/>
        <w:jc w:val="center"/>
        <w:textAlignment w:val="auto"/>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lang w:val="zh-CN"/>
        </w:rPr>
        <w:t>第四章</w:t>
      </w:r>
      <w:r>
        <w:rPr>
          <w:rFonts w:hint="eastAsia" w:ascii="楷体_GB2312" w:hAnsi="楷体_GB2312" w:eastAsia="楷体_GB2312" w:cs="楷体_GB2312"/>
          <w:b/>
          <w:bCs w:val="0"/>
          <w:kern w:val="0"/>
          <w:sz w:val="32"/>
          <w:szCs w:val="32"/>
        </w:rPr>
        <w:t xml:space="preserve"> </w:t>
      </w:r>
      <w:r>
        <w:rPr>
          <w:rFonts w:hint="eastAsia" w:ascii="楷体_GB2312" w:hAnsi="楷体_GB2312" w:eastAsia="楷体_GB2312" w:cs="楷体_GB2312"/>
          <w:b/>
          <w:bCs w:val="0"/>
          <w:kern w:val="0"/>
          <w:sz w:val="32"/>
          <w:szCs w:val="32"/>
          <w:lang w:val="zh-CN"/>
        </w:rPr>
        <w:t>报销手续和要求</w:t>
      </w:r>
    </w:p>
    <w:p w14:paraId="3413070E">
      <w:pPr>
        <w:pageBreakBefore w:val="0"/>
        <w:kinsoku/>
        <w:wordWrap/>
        <w:overflowPunct/>
        <w:topLinePunct w:val="0"/>
        <w:autoSpaceDE w:val="0"/>
        <w:autoSpaceDN w:val="0"/>
        <w:bidi w:val="0"/>
        <w:adjustRightInd w:val="0"/>
        <w:snapToGrid/>
        <w:spacing w:line="240" w:lineRule="auto"/>
        <w:ind w:firstLine="600"/>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第十四条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各部门到综合行政部办理借款或报销手续时，经办人需根据开支的不同用途，按照要求分别填写下列凭证：</w:t>
      </w:r>
    </w:p>
    <w:p w14:paraId="3EB3F807">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（一）借现金或转账支票：使用</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借款审批单</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w:t>
      </w:r>
    </w:p>
    <w:p w14:paraId="27E26EB2">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kern w:val="0"/>
          <w:sz w:val="32"/>
          <w:szCs w:val="32"/>
        </w:rPr>
      </w:pPr>
      <w:r>
        <w:rPr>
          <w:rFonts w:hint="eastAsia" w:ascii="仿宋_GB2312" w:hAnsi="仿宋_GB2312" w:eastAsia="仿宋_GB2312" w:cs="仿宋_GB2312"/>
          <w:kern w:val="0"/>
          <w:sz w:val="32"/>
          <w:szCs w:val="32"/>
          <w:lang w:val="zh-CN"/>
        </w:rPr>
        <w:t>（二）报销差旅费：使用</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出差旅费报销单</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w:t>
      </w:r>
    </w:p>
    <w:p w14:paraId="18507A8A">
      <w:pPr>
        <w:pageBreakBefore w:val="0"/>
        <w:kinsoku/>
        <w:wordWrap/>
        <w:overflowPunct/>
        <w:topLinePunct w:val="0"/>
        <w:autoSpaceDE w:val="0"/>
        <w:autoSpaceDN w:val="0"/>
        <w:bidi w:val="0"/>
        <w:adjustRightInd w:val="0"/>
        <w:snapToGrid/>
        <w:spacing w:line="240" w:lineRule="auto"/>
        <w:ind w:firstLine="64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（三）报销其他费用：使用</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费用报销单</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w:t>
      </w:r>
    </w:p>
    <w:p w14:paraId="0D816EAE">
      <w:pPr>
        <w:pageBreakBefore w:val="0"/>
        <w:kinsoku/>
        <w:wordWrap/>
        <w:overflowPunct/>
        <w:topLinePunct w:val="0"/>
        <w:autoSpaceDE w:val="0"/>
        <w:autoSpaceDN w:val="0"/>
        <w:bidi w:val="0"/>
        <w:adjustRightInd w:val="0"/>
        <w:snapToGrid/>
        <w:spacing w:line="240" w:lineRule="auto"/>
        <w:ind w:firstLine="645"/>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第十五条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报销凭证应填制完整，经部门负责人签字批准，并附原始发票，综合行政部方可受理报销。</w:t>
      </w:r>
    </w:p>
    <w:p w14:paraId="5F232EAF">
      <w:pPr>
        <w:pageBreakBefore w:val="0"/>
        <w:kinsoku/>
        <w:wordWrap/>
        <w:overflowPunct/>
        <w:topLinePunct w:val="0"/>
        <w:autoSpaceDE w:val="0"/>
        <w:autoSpaceDN w:val="0"/>
        <w:bidi w:val="0"/>
        <w:adjustRightInd w:val="0"/>
        <w:snapToGrid/>
        <w:spacing w:line="240" w:lineRule="auto"/>
        <w:textAlignment w:val="auto"/>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val="0"/>
          <w:kern w:val="0"/>
          <w:sz w:val="32"/>
          <w:szCs w:val="32"/>
          <w:lang w:val="zh-CN"/>
        </w:rPr>
        <w:t>第十六条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借款和报销经办人对各项单据填写金额应准确、字迹清晰、无涂改，单据与所附的原始凭证应粘贴整齐、平展。</w:t>
      </w:r>
    </w:p>
    <w:p w14:paraId="75965CA5">
      <w:pPr>
        <w:pageBreakBefore w:val="0"/>
        <w:kinsoku/>
        <w:wordWrap/>
        <w:overflowPunct/>
        <w:topLinePunct w:val="0"/>
        <w:autoSpaceDE w:val="0"/>
        <w:autoSpaceDN w:val="0"/>
        <w:bidi w:val="0"/>
        <w:adjustRightInd w:val="0"/>
        <w:snapToGrid/>
        <w:spacing w:line="240" w:lineRule="auto"/>
        <w:ind w:firstLine="643"/>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val="0"/>
          <w:kern w:val="0"/>
          <w:sz w:val="32"/>
          <w:szCs w:val="32"/>
          <w:lang w:val="zh-CN"/>
        </w:rPr>
        <w:t>第十七条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为避免长期占用公款现象发生，保证会计账务处理的及时性和准确性，各项借款要及时办理报销和还款手续。无特殊原因，一般应在出差任务完成或款项支付后</w:t>
      </w:r>
      <w:r>
        <w:rPr>
          <w:rFonts w:hint="eastAsia" w:ascii="仿宋_GB2312" w:hAnsi="仿宋_GB2312" w:eastAsia="仿宋_GB2312"/>
          <w:kern w:val="0"/>
          <w:sz w:val="32"/>
          <w:szCs w:val="32"/>
        </w:rPr>
        <w:t>5</w:t>
      </w:r>
      <w:r>
        <w:rPr>
          <w:rFonts w:hint="eastAsia" w:ascii="仿宋_GB2312" w:hAnsi="仿宋_GB2312" w:eastAsia="仿宋_GB2312" w:cs="仿宋_GB2312"/>
          <w:kern w:val="0"/>
          <w:sz w:val="32"/>
          <w:szCs w:val="32"/>
          <w:lang w:val="zh-CN"/>
        </w:rPr>
        <w:t>个工作日内到财务部门办理报销手续。因个人原因延期不办经提醒无效的，将从其工资中抵扣借款。借款应本着</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一次一清，结清再借</w:t>
      </w:r>
      <w:r>
        <w:rPr>
          <w:rFonts w:hint="eastAsia" w:ascii="仿宋_GB2312" w:hAnsi="仿宋_GB2312" w:eastAsia="仿宋_GB2312"/>
          <w:kern w:val="0"/>
          <w:sz w:val="32"/>
          <w:szCs w:val="32"/>
        </w:rPr>
        <w:t>”</w:t>
      </w:r>
      <w:r>
        <w:rPr>
          <w:rFonts w:hint="eastAsia" w:ascii="仿宋_GB2312" w:hAnsi="仿宋_GB2312" w:eastAsia="仿宋_GB2312" w:cs="仿宋_GB2312"/>
          <w:kern w:val="0"/>
          <w:sz w:val="32"/>
          <w:szCs w:val="32"/>
          <w:lang w:val="zh-CN"/>
        </w:rPr>
        <w:t>的原则，未结清借款者不再办理新的借款。</w:t>
      </w:r>
    </w:p>
    <w:p w14:paraId="0E5CF44C">
      <w:pPr>
        <w:pageBreakBefore w:val="0"/>
        <w:kinsoku/>
        <w:wordWrap/>
        <w:overflowPunct/>
        <w:topLinePunct w:val="0"/>
        <w:bidi w:val="0"/>
        <w:snapToGrid/>
        <w:spacing w:line="240" w:lineRule="auto"/>
        <w:ind w:firstLine="643"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val="0"/>
          <w:kern w:val="0"/>
          <w:sz w:val="32"/>
          <w:szCs w:val="32"/>
          <w:lang w:val="zh-CN"/>
        </w:rPr>
        <w:t>第十八条</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lang w:val="zh-CN"/>
        </w:rPr>
        <w:t>凡虚开票据、使用虚假票据等弄虚作假、虚报冒领者，一律不予报销，并按有关法规进行处理。</w:t>
      </w:r>
    </w:p>
    <w:p w14:paraId="630983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F358A"/>
    <w:rsid w:val="6D0546D4"/>
    <w:rsid w:val="77EE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2508</Words>
  <Characters>2521</Characters>
  <Lines>0</Lines>
  <Paragraphs>0</Paragraphs>
  <TotalTime>4</TotalTime>
  <ScaleCrop>false</ScaleCrop>
  <LinksUpToDate>false</LinksUpToDate>
  <CharactersWithSpaces>2566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2025-05-21T08:48:00Z</dcterms:created>
  <dc:creator>huawei</dc:creator>
  <cp:lastModifiedBy>huawei</cp:lastModifiedBy>
  <dcterms:modified xsi:type="dcterms:W3CDTF">2025-05-21T08:53:36Z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eyJoZGlkIjoiM2ExZjE2MjJiZGYxZmZiNmIzYWU3ZjEwNTQ0NWJkNTYifQ==</vt:lpwstr>
  </property>
  <property fmtid="{D5CDD505-2E9C-101B-9397-08002B2CF9AE}" pid="4" name="ICV">
    <vt:lpwstr>22E1E022EB864C11B4B249D104CAA273_12</vt:lpwstr>
  </property>
</Properties>
</file>